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99DFA" w14:textId="586DC6DA" w:rsidR="0036622E" w:rsidRPr="00A02305" w:rsidRDefault="00AB0A1B" w:rsidP="00A02305">
      <w:pPr>
        <w:spacing w:after="0" w:line="480" w:lineRule="auto"/>
        <w:rPr>
          <w:rFonts w:ascii="Times New Roman" w:hAnsi="Times New Roman" w:cs="Times New Roman"/>
          <w:sz w:val="24"/>
          <w:szCs w:val="24"/>
          <w:bdr w:val="none" w:sz="0" w:space="0" w:color="auto" w:frame="1"/>
        </w:rPr>
      </w:pPr>
      <w:r w:rsidRPr="00A02305">
        <w:rPr>
          <w:rFonts w:ascii="Times New Roman" w:hAnsi="Times New Roman" w:cs="Times New Roman"/>
          <w:sz w:val="24"/>
          <w:szCs w:val="24"/>
          <w:bdr w:val="none" w:sz="0" w:space="0" w:color="auto" w:frame="1"/>
        </w:rPr>
        <w:t>Student’s name</w:t>
      </w:r>
    </w:p>
    <w:p w14:paraId="06727BF4" w14:textId="51589146" w:rsidR="00A02305" w:rsidRPr="00A02305" w:rsidRDefault="00AB0A1B" w:rsidP="00A02305">
      <w:pPr>
        <w:spacing w:after="0" w:line="480" w:lineRule="auto"/>
        <w:rPr>
          <w:rFonts w:ascii="Times New Roman" w:hAnsi="Times New Roman" w:cs="Times New Roman"/>
          <w:sz w:val="24"/>
          <w:szCs w:val="24"/>
          <w:bdr w:val="none" w:sz="0" w:space="0" w:color="auto" w:frame="1"/>
        </w:rPr>
      </w:pPr>
      <w:r w:rsidRPr="00A02305">
        <w:rPr>
          <w:rFonts w:ascii="Times New Roman" w:hAnsi="Times New Roman" w:cs="Times New Roman"/>
          <w:sz w:val="24"/>
          <w:szCs w:val="24"/>
          <w:bdr w:val="none" w:sz="0" w:space="0" w:color="auto" w:frame="1"/>
        </w:rPr>
        <w:t>Professor’s Name</w:t>
      </w:r>
    </w:p>
    <w:p w14:paraId="44965F29" w14:textId="0C81715A" w:rsidR="00A02305" w:rsidRPr="00A02305" w:rsidRDefault="00AB0A1B" w:rsidP="00A02305">
      <w:pPr>
        <w:spacing w:after="0" w:line="480" w:lineRule="auto"/>
        <w:rPr>
          <w:rFonts w:ascii="Times New Roman" w:hAnsi="Times New Roman" w:cs="Times New Roman"/>
          <w:sz w:val="24"/>
          <w:szCs w:val="24"/>
          <w:bdr w:val="none" w:sz="0" w:space="0" w:color="auto" w:frame="1"/>
        </w:rPr>
      </w:pPr>
      <w:r w:rsidRPr="00A02305">
        <w:rPr>
          <w:rFonts w:ascii="Times New Roman" w:hAnsi="Times New Roman" w:cs="Times New Roman"/>
          <w:sz w:val="24"/>
          <w:szCs w:val="24"/>
          <w:bdr w:val="none" w:sz="0" w:space="0" w:color="auto" w:frame="1"/>
        </w:rPr>
        <w:t>Course code and name</w:t>
      </w:r>
      <w:bookmarkStart w:id="0" w:name="_GoBack"/>
      <w:bookmarkEnd w:id="0"/>
    </w:p>
    <w:p w14:paraId="5CE63D8B" w14:textId="0294CB72" w:rsidR="00A02305" w:rsidRPr="00A02305" w:rsidRDefault="00AB0A1B" w:rsidP="00A02305">
      <w:pPr>
        <w:spacing w:after="0" w:line="480" w:lineRule="auto"/>
        <w:rPr>
          <w:rFonts w:ascii="Times New Roman" w:hAnsi="Times New Roman" w:cs="Times New Roman"/>
          <w:sz w:val="24"/>
          <w:szCs w:val="24"/>
          <w:bdr w:val="none" w:sz="0" w:space="0" w:color="auto" w:frame="1"/>
        </w:rPr>
      </w:pPr>
      <w:r w:rsidRPr="00A02305">
        <w:rPr>
          <w:rFonts w:ascii="Times New Roman" w:hAnsi="Times New Roman" w:cs="Times New Roman"/>
          <w:sz w:val="24"/>
          <w:szCs w:val="24"/>
          <w:bdr w:val="none" w:sz="0" w:space="0" w:color="auto" w:frame="1"/>
        </w:rPr>
        <w:t>Institution</w:t>
      </w:r>
    </w:p>
    <w:p w14:paraId="79E1F5FF" w14:textId="669672FB" w:rsidR="00A02305" w:rsidRPr="00A02305" w:rsidRDefault="00AB0A1B" w:rsidP="00A02305">
      <w:pPr>
        <w:spacing w:after="0" w:line="480" w:lineRule="auto"/>
        <w:rPr>
          <w:rFonts w:ascii="Times New Roman" w:eastAsia="Times New Roman" w:hAnsi="Times New Roman" w:cs="Times New Roman"/>
          <w:b/>
          <w:bCs/>
          <w:color w:val="000000"/>
          <w:sz w:val="24"/>
          <w:szCs w:val="24"/>
          <w:bdr w:val="none" w:sz="0" w:space="0" w:color="auto" w:frame="1"/>
        </w:rPr>
      </w:pPr>
      <w:r w:rsidRPr="00A02305">
        <w:rPr>
          <w:rFonts w:ascii="Times New Roman" w:hAnsi="Times New Roman" w:cs="Times New Roman"/>
          <w:sz w:val="24"/>
          <w:szCs w:val="24"/>
          <w:bdr w:val="none" w:sz="0" w:space="0" w:color="auto" w:frame="1"/>
        </w:rPr>
        <w:t xml:space="preserve">Date </w:t>
      </w:r>
    </w:p>
    <w:p w14:paraId="34BDD9B3" w14:textId="4A70072B" w:rsidR="00E1638D" w:rsidRPr="00A02305" w:rsidRDefault="00AB0A1B" w:rsidP="00F85FDC">
      <w:pPr>
        <w:spacing w:after="0" w:line="480" w:lineRule="auto"/>
        <w:jc w:val="center"/>
        <w:rPr>
          <w:rFonts w:ascii="Times New Roman" w:eastAsia="Times New Roman" w:hAnsi="Times New Roman" w:cs="Times New Roman"/>
          <w:color w:val="000000"/>
          <w:sz w:val="24"/>
          <w:szCs w:val="24"/>
        </w:rPr>
      </w:pPr>
      <w:r w:rsidRPr="00A02305">
        <w:rPr>
          <w:rFonts w:ascii="Times New Roman" w:eastAsia="Times New Roman" w:hAnsi="Times New Roman" w:cs="Times New Roman"/>
          <w:b/>
          <w:bCs/>
          <w:color w:val="000000"/>
          <w:sz w:val="24"/>
          <w:szCs w:val="24"/>
          <w:bdr w:val="none" w:sz="0" w:space="0" w:color="auto" w:frame="1"/>
        </w:rPr>
        <w:t xml:space="preserve">Read Chapter </w:t>
      </w:r>
      <w:r w:rsidR="00795DCC" w:rsidRPr="00A02305">
        <w:rPr>
          <w:rFonts w:ascii="Times New Roman" w:eastAsia="Times New Roman" w:hAnsi="Times New Roman" w:cs="Times New Roman"/>
          <w:b/>
          <w:bCs/>
          <w:color w:val="000000"/>
          <w:sz w:val="24"/>
          <w:szCs w:val="24"/>
          <w:bdr w:val="none" w:sz="0" w:space="0" w:color="auto" w:frame="1"/>
        </w:rPr>
        <w:t>31 &amp; 32</w:t>
      </w:r>
    </w:p>
    <w:p w14:paraId="39025597" w14:textId="2F2352DB" w:rsidR="006D1BE7" w:rsidRPr="00A02305" w:rsidRDefault="00AB0A1B" w:rsidP="00E50CDF">
      <w:pPr>
        <w:numPr>
          <w:ilvl w:val="0"/>
          <w:numId w:val="9"/>
        </w:numPr>
        <w:spacing w:after="0" w:line="480" w:lineRule="auto"/>
        <w:rPr>
          <w:rFonts w:ascii="Times New Roman" w:eastAsia="Times New Roman" w:hAnsi="Times New Roman" w:cs="Times New Roman"/>
          <w:color w:val="000000"/>
          <w:sz w:val="24"/>
          <w:szCs w:val="24"/>
        </w:rPr>
      </w:pPr>
      <w:r w:rsidRPr="00A02305">
        <w:rPr>
          <w:rFonts w:ascii="Times New Roman" w:eastAsia="Times New Roman" w:hAnsi="Times New Roman" w:cs="Times New Roman"/>
          <w:b/>
          <w:bCs/>
          <w:color w:val="000000"/>
          <w:sz w:val="24"/>
          <w:szCs w:val="24"/>
        </w:rPr>
        <w:t xml:space="preserve">Describe how an agency agreement is created between principal and agent. How are the servant-master relationships from ancient custom and common law brought to </w:t>
      </w:r>
      <w:r w:rsidRPr="00A02305">
        <w:rPr>
          <w:rFonts w:ascii="Times New Roman" w:eastAsia="Times New Roman" w:hAnsi="Times New Roman" w:cs="Times New Roman"/>
          <w:b/>
          <w:bCs/>
          <w:color w:val="000000"/>
          <w:sz w:val="24"/>
          <w:szCs w:val="24"/>
        </w:rPr>
        <w:t>modern applications of fiduciary agreements?</w:t>
      </w:r>
    </w:p>
    <w:p w14:paraId="1270F2FC" w14:textId="1B59819C" w:rsidR="00795DCC" w:rsidRPr="00A02305" w:rsidRDefault="00AB0A1B" w:rsidP="00A02305">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 xml:space="preserve">An agency agreement </w:t>
      </w:r>
      <w:r w:rsidR="00A40A94" w:rsidRPr="00A02305">
        <w:rPr>
          <w:rFonts w:ascii="Times New Roman" w:eastAsia="Times New Roman" w:hAnsi="Times New Roman" w:cs="Times New Roman"/>
          <w:color w:val="000000"/>
          <w:sz w:val="24"/>
          <w:szCs w:val="24"/>
        </w:rPr>
        <w:t xml:space="preserve">is defined as a fiduciary relationship involving an individual referred to as principal contracting an agent to act on their place.  The relationship entails that the agent is only subjected to the principal's control as well as should seek consent before making significant pronouncements. </w:t>
      </w:r>
      <w:r w:rsidR="009E2D05" w:rsidRPr="00A02305">
        <w:rPr>
          <w:rFonts w:ascii="Times New Roman" w:eastAsia="Times New Roman" w:hAnsi="Times New Roman" w:cs="Times New Roman"/>
          <w:color w:val="000000"/>
          <w:sz w:val="24"/>
          <w:szCs w:val="24"/>
        </w:rPr>
        <w:t xml:space="preserve"> The agency agreements are often subjected to the approval between the parties. The principal often contracts an agency through writing or orally. In most cases, some states often require the agents appointed through writing, particularly negotiating </w:t>
      </w:r>
      <w:r w:rsidR="00244E26" w:rsidRPr="00A02305">
        <w:rPr>
          <w:rFonts w:ascii="Times New Roman" w:eastAsia="Times New Roman" w:hAnsi="Times New Roman" w:cs="Times New Roman"/>
          <w:color w:val="000000"/>
          <w:sz w:val="24"/>
          <w:szCs w:val="24"/>
        </w:rPr>
        <w:t xml:space="preserve">contracts that must be written by the statute of frauds. A power of attorney is employed when the formal instrument is applied to confer the authority on the principle's agent. The principal is required to sign this written document in the presence of a public notary, and the agent from the attorney is implied as an attorney, in </w:t>
      </w:r>
      <w:r w:rsidR="0038494F" w:rsidRPr="00A02305">
        <w:rPr>
          <w:rFonts w:ascii="Times New Roman" w:eastAsia="Times New Roman" w:hAnsi="Times New Roman" w:cs="Times New Roman"/>
          <w:color w:val="000000"/>
          <w:sz w:val="24"/>
          <w:szCs w:val="24"/>
        </w:rPr>
        <w:t>fact (</w:t>
      </w:r>
      <w:r w:rsidR="00A02305" w:rsidRPr="00A02305">
        <w:rPr>
          <w:rFonts w:ascii="Times New Roman" w:hAnsi="Times New Roman" w:cs="Times New Roman"/>
          <w:sz w:val="24"/>
          <w:szCs w:val="24"/>
        </w:rPr>
        <w:t>Morgan p</w:t>
      </w:r>
      <w:r w:rsidR="00A02305" w:rsidRPr="00A02305">
        <w:rPr>
          <w:rFonts w:ascii="Times New Roman" w:eastAsia="Times New Roman" w:hAnsi="Times New Roman" w:cs="Times New Roman"/>
          <w:color w:val="000000"/>
          <w:sz w:val="24"/>
          <w:szCs w:val="24"/>
        </w:rPr>
        <w:t xml:space="preserve">. </w:t>
      </w:r>
      <w:r w:rsidR="003F0105" w:rsidRPr="00A02305">
        <w:rPr>
          <w:rFonts w:ascii="Times New Roman" w:eastAsia="Times New Roman" w:hAnsi="Times New Roman" w:cs="Times New Roman"/>
          <w:color w:val="000000"/>
          <w:sz w:val="24"/>
          <w:szCs w:val="24"/>
        </w:rPr>
        <w:t>674).</w:t>
      </w:r>
    </w:p>
    <w:p w14:paraId="1BFC74F4" w14:textId="36F5D174" w:rsidR="00E1638D"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 xml:space="preserve">The servant -master relationships from ancient as well as common law, are brought it modern applications </w:t>
      </w:r>
      <w:r w:rsidR="003F0105" w:rsidRPr="00A02305">
        <w:rPr>
          <w:rFonts w:ascii="Times New Roman" w:eastAsia="Times New Roman" w:hAnsi="Times New Roman" w:cs="Times New Roman"/>
          <w:color w:val="000000"/>
          <w:sz w:val="24"/>
          <w:szCs w:val="24"/>
        </w:rPr>
        <w:t xml:space="preserve">because as per the law of torts in which case the principal was referred to as the master while the servant was the agent. In the contemporary world, </w:t>
      </w:r>
      <w:r w:rsidR="00FB0F7B" w:rsidRPr="00A02305">
        <w:rPr>
          <w:rFonts w:ascii="Times New Roman" w:eastAsia="Times New Roman" w:hAnsi="Times New Roman" w:cs="Times New Roman"/>
          <w:color w:val="000000"/>
          <w:sz w:val="24"/>
          <w:szCs w:val="24"/>
        </w:rPr>
        <w:lastRenderedPageBreak/>
        <w:t xml:space="preserve">while applying to such situations, the courts would see </w:t>
      </w:r>
      <w:r w:rsidR="003F0105" w:rsidRPr="00A02305">
        <w:rPr>
          <w:rFonts w:ascii="Times New Roman" w:eastAsia="Times New Roman" w:hAnsi="Times New Roman" w:cs="Times New Roman"/>
          <w:color w:val="000000"/>
          <w:sz w:val="24"/>
          <w:szCs w:val="24"/>
        </w:rPr>
        <w:t xml:space="preserve">the agent </w:t>
      </w:r>
      <w:r w:rsidR="00FB0F7B" w:rsidRPr="00A02305">
        <w:rPr>
          <w:rFonts w:ascii="Times New Roman" w:eastAsia="Times New Roman" w:hAnsi="Times New Roman" w:cs="Times New Roman"/>
          <w:color w:val="000000"/>
          <w:sz w:val="24"/>
          <w:szCs w:val="24"/>
        </w:rPr>
        <w:t>a</w:t>
      </w:r>
      <w:r w:rsidR="003F0105" w:rsidRPr="00A02305">
        <w:rPr>
          <w:rFonts w:ascii="Times New Roman" w:eastAsia="Times New Roman" w:hAnsi="Times New Roman" w:cs="Times New Roman"/>
          <w:color w:val="000000"/>
          <w:sz w:val="24"/>
          <w:szCs w:val="24"/>
        </w:rPr>
        <w:t>s the employee, and the principal is the employer</w:t>
      </w:r>
      <w:r w:rsidR="00FB0F7B" w:rsidRPr="00A02305">
        <w:rPr>
          <w:rFonts w:ascii="Times New Roman" w:eastAsia="Times New Roman" w:hAnsi="Times New Roman" w:cs="Times New Roman"/>
          <w:color w:val="000000"/>
          <w:sz w:val="24"/>
          <w:szCs w:val="24"/>
        </w:rPr>
        <w:t xml:space="preserve"> (</w:t>
      </w:r>
      <w:r w:rsidR="00A02305" w:rsidRPr="00A02305">
        <w:rPr>
          <w:rFonts w:ascii="Times New Roman" w:hAnsi="Times New Roman" w:cs="Times New Roman"/>
          <w:sz w:val="24"/>
          <w:szCs w:val="24"/>
        </w:rPr>
        <w:t>Morgan p</w:t>
      </w:r>
      <w:r w:rsidR="00A02305" w:rsidRPr="00A02305">
        <w:rPr>
          <w:rFonts w:ascii="Times New Roman" w:eastAsia="Times New Roman" w:hAnsi="Times New Roman" w:cs="Times New Roman"/>
          <w:color w:val="000000"/>
          <w:sz w:val="24"/>
          <w:szCs w:val="24"/>
        </w:rPr>
        <w:t>.</w:t>
      </w:r>
      <w:r w:rsidR="00FB0F7B" w:rsidRPr="00A02305">
        <w:rPr>
          <w:rFonts w:ascii="Times New Roman" w:eastAsia="Times New Roman" w:hAnsi="Times New Roman" w:cs="Times New Roman"/>
          <w:color w:val="000000"/>
          <w:sz w:val="24"/>
          <w:szCs w:val="24"/>
        </w:rPr>
        <w:t xml:space="preserve">677). </w:t>
      </w:r>
    </w:p>
    <w:p w14:paraId="677E7CAA" w14:textId="76D75681" w:rsidR="00795DCC" w:rsidRPr="00F85FDC" w:rsidRDefault="00AB0A1B" w:rsidP="00467B44">
      <w:pPr>
        <w:numPr>
          <w:ilvl w:val="0"/>
          <w:numId w:val="10"/>
        </w:numPr>
        <w:spacing w:after="0" w:line="480" w:lineRule="auto"/>
        <w:rPr>
          <w:rFonts w:ascii="Times New Roman" w:eastAsia="Times New Roman" w:hAnsi="Times New Roman" w:cs="Times New Roman"/>
          <w:color w:val="000000"/>
          <w:sz w:val="24"/>
          <w:szCs w:val="24"/>
        </w:rPr>
      </w:pPr>
      <w:r w:rsidRPr="00F85FDC">
        <w:rPr>
          <w:rFonts w:ascii="Times New Roman" w:eastAsia="Times New Roman" w:hAnsi="Times New Roman" w:cs="Times New Roman"/>
          <w:b/>
          <w:bCs/>
          <w:color w:val="000000"/>
          <w:sz w:val="24"/>
          <w:szCs w:val="24"/>
        </w:rPr>
        <w:t xml:space="preserve">Give an example when an individual or company requires the use of an undisclosed agent.  In Touchstone:   Pappas v Criss p.678 we read how </w:t>
      </w:r>
      <w:r w:rsidR="00A10151" w:rsidRPr="00F85FDC">
        <w:rPr>
          <w:rFonts w:ascii="Times New Roman" w:eastAsia="Times New Roman" w:hAnsi="Times New Roman" w:cs="Times New Roman"/>
          <w:b/>
          <w:bCs/>
          <w:color w:val="000000"/>
          <w:sz w:val="24"/>
          <w:szCs w:val="24"/>
        </w:rPr>
        <w:t>2 landscapers</w:t>
      </w:r>
      <w:r w:rsidRPr="00F85FDC">
        <w:rPr>
          <w:rFonts w:ascii="Times New Roman" w:eastAsia="Times New Roman" w:hAnsi="Times New Roman" w:cs="Times New Roman"/>
          <w:b/>
          <w:bCs/>
          <w:color w:val="000000"/>
          <w:sz w:val="24"/>
          <w:szCs w:val="24"/>
        </w:rPr>
        <w:t xml:space="preserve"> attempted to default on their legal obligations. Why did the court reject t</w:t>
      </w:r>
      <w:r w:rsidRPr="00F85FDC">
        <w:rPr>
          <w:rFonts w:ascii="Times New Roman" w:eastAsia="Times New Roman" w:hAnsi="Times New Roman" w:cs="Times New Roman"/>
          <w:b/>
          <w:bCs/>
          <w:color w:val="000000"/>
          <w:sz w:val="24"/>
          <w:szCs w:val="24"/>
        </w:rPr>
        <w:t>heir claim of agency? </w:t>
      </w:r>
    </w:p>
    <w:p w14:paraId="513AEEF1" w14:textId="044004BF" w:rsidR="00521BC7"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 xml:space="preserve">Undisclosed agents imply to agents that part in the supply of goods and services while acts in their name but on behalf of their principal. Therefore, the third parties to the transaction are kept in the dark about the involvement of an agent. </w:t>
      </w:r>
      <w:r w:rsidR="00AF3F5D" w:rsidRPr="00A02305">
        <w:rPr>
          <w:rFonts w:ascii="Times New Roman" w:eastAsia="Times New Roman" w:hAnsi="Times New Roman" w:cs="Times New Roman"/>
          <w:color w:val="000000"/>
          <w:sz w:val="24"/>
          <w:szCs w:val="24"/>
        </w:rPr>
        <w:t xml:space="preserve">There are numerous undisclosed principal cases across the globe. For </w:t>
      </w:r>
      <w:r w:rsidR="00A10151" w:rsidRPr="00A02305">
        <w:rPr>
          <w:rFonts w:ascii="Times New Roman" w:eastAsia="Times New Roman" w:hAnsi="Times New Roman" w:cs="Times New Roman"/>
          <w:color w:val="000000"/>
          <w:sz w:val="24"/>
          <w:szCs w:val="24"/>
        </w:rPr>
        <w:t>instance,</w:t>
      </w:r>
      <w:r w:rsidR="00AF3F5D" w:rsidRPr="00A02305">
        <w:rPr>
          <w:rFonts w:ascii="Times New Roman" w:eastAsia="Times New Roman" w:hAnsi="Times New Roman" w:cs="Times New Roman"/>
          <w:color w:val="000000"/>
          <w:sz w:val="24"/>
          <w:szCs w:val="24"/>
        </w:rPr>
        <w:t xml:space="preserve"> in the case of Pappas v Criss p. 678 describes a scenario where Kevin and Cathie were contracted by a homeowner to offer landscaping services. However, they were sued for breach of contract by the homeowner. They alluded that they were acting as agents to a corporation that had filed for bankruptcy hence could not be personally liable</w:t>
      </w:r>
      <w:r w:rsidR="00A02305" w:rsidRPr="00A02305">
        <w:rPr>
          <w:rFonts w:ascii="Times New Roman" w:eastAsia="Times New Roman" w:hAnsi="Times New Roman" w:cs="Times New Roman"/>
          <w:color w:val="000000"/>
          <w:sz w:val="24"/>
          <w:szCs w:val="24"/>
        </w:rPr>
        <w:t xml:space="preserve"> (</w:t>
      </w:r>
      <w:r w:rsidR="00A02305" w:rsidRPr="00A02305">
        <w:rPr>
          <w:rFonts w:ascii="Times New Roman" w:hAnsi="Times New Roman" w:cs="Times New Roman"/>
          <w:sz w:val="24"/>
          <w:szCs w:val="24"/>
        </w:rPr>
        <w:t>Morgan p. 678)</w:t>
      </w:r>
    </w:p>
    <w:p w14:paraId="35DB36B0" w14:textId="27A9537B" w:rsidR="00E1638D"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 xml:space="preserve">The court declined </w:t>
      </w:r>
      <w:r w:rsidR="00085C81" w:rsidRPr="00A02305">
        <w:rPr>
          <w:rFonts w:ascii="Times New Roman" w:eastAsia="Times New Roman" w:hAnsi="Times New Roman" w:cs="Times New Roman"/>
          <w:color w:val="000000"/>
          <w:sz w:val="24"/>
          <w:szCs w:val="24"/>
        </w:rPr>
        <w:t>their claim of agency because the disclosure of the agency was not complete to relieve their liabilities from the principal; in this case, the corporation. Furthermore, there was no evidence to suggest that Kevin and Cathie were working for the corporation. Moreover, the payments were made to Kevin Checking account for labor and the materials but not the corporation's account. The court ruled that since Kevin and Cathie failed to disclose to the homeowner that they were agents to the corporation, they could not be asserted appropriately as agents</w:t>
      </w:r>
      <w:r w:rsidR="00A02305" w:rsidRPr="00A02305">
        <w:rPr>
          <w:rFonts w:ascii="Times New Roman" w:eastAsia="Times New Roman" w:hAnsi="Times New Roman" w:cs="Times New Roman"/>
          <w:color w:val="000000"/>
          <w:sz w:val="24"/>
          <w:szCs w:val="24"/>
        </w:rPr>
        <w:t xml:space="preserve"> (</w:t>
      </w:r>
      <w:r w:rsidR="00A02305" w:rsidRPr="00A02305">
        <w:rPr>
          <w:rFonts w:ascii="Times New Roman" w:hAnsi="Times New Roman" w:cs="Times New Roman"/>
          <w:sz w:val="24"/>
          <w:szCs w:val="24"/>
        </w:rPr>
        <w:t>Morgan p. 678)</w:t>
      </w:r>
    </w:p>
    <w:p w14:paraId="556A66A2" w14:textId="159CADF8" w:rsidR="00795DCC" w:rsidRPr="00F85FDC" w:rsidRDefault="00AB0A1B" w:rsidP="0087007C">
      <w:pPr>
        <w:numPr>
          <w:ilvl w:val="0"/>
          <w:numId w:val="11"/>
        </w:numPr>
        <w:spacing w:after="0" w:line="480" w:lineRule="auto"/>
        <w:rPr>
          <w:rFonts w:ascii="Times New Roman" w:eastAsia="Times New Roman" w:hAnsi="Times New Roman" w:cs="Times New Roman"/>
          <w:color w:val="000000"/>
          <w:sz w:val="24"/>
          <w:szCs w:val="24"/>
        </w:rPr>
      </w:pPr>
      <w:r w:rsidRPr="00F85FDC">
        <w:rPr>
          <w:rFonts w:ascii="Times New Roman" w:eastAsia="Times New Roman" w:hAnsi="Times New Roman" w:cs="Times New Roman"/>
          <w:b/>
          <w:bCs/>
          <w:color w:val="000000"/>
          <w:sz w:val="24"/>
          <w:szCs w:val="24"/>
        </w:rPr>
        <w:t xml:space="preserve">You need a good </w:t>
      </w:r>
      <w:r w:rsidRPr="00F85FDC">
        <w:rPr>
          <w:rFonts w:ascii="Times New Roman" w:eastAsia="Times New Roman" w:hAnsi="Times New Roman" w:cs="Times New Roman"/>
          <w:b/>
          <w:bCs/>
          <w:color w:val="000000"/>
          <w:sz w:val="24"/>
          <w:szCs w:val="24"/>
        </w:rPr>
        <w:t>lawyer as your agent for a real estate purchase. How should authority be conferred on the lawyer to represent you?  What behaviors do you expect from your lawyer, and what duties can she expect from you?</w:t>
      </w:r>
    </w:p>
    <w:p w14:paraId="1DB7D219" w14:textId="1B9EEE79" w:rsidR="003E3F77"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lastRenderedPageBreak/>
        <w:t xml:space="preserve">Although some states do not mandatorily </w:t>
      </w:r>
      <w:r w:rsidRPr="00A02305">
        <w:rPr>
          <w:rFonts w:ascii="Times New Roman" w:eastAsia="Times New Roman" w:hAnsi="Times New Roman" w:cs="Times New Roman"/>
          <w:color w:val="000000"/>
          <w:sz w:val="24"/>
          <w:szCs w:val="24"/>
        </w:rPr>
        <w:t>require that to use a lawyer for real estate purchases, s</w:t>
      </w:r>
      <w:r w:rsidR="00DA1B94" w:rsidRPr="00A02305">
        <w:rPr>
          <w:rFonts w:ascii="Times New Roman" w:eastAsia="Times New Roman" w:hAnsi="Times New Roman" w:cs="Times New Roman"/>
          <w:color w:val="000000"/>
          <w:sz w:val="24"/>
          <w:szCs w:val="24"/>
        </w:rPr>
        <w:t>ome legal tussles might arise that the real estate agent might offer any solution. The lawyer is accorded the formal instrument, power of attorney, that confers them the authority of the agent. In this case, the lawyer becomes the agent and is referred to as the attorney in fact. A power of attorney grants the agent the authority to act on all respects for the principle.</w:t>
      </w:r>
    </w:p>
    <w:p w14:paraId="6D8F14A9" w14:textId="77777777" w:rsidR="0094163C"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For instance, during the day of the purchase of the property, the principal may n</w:t>
      </w:r>
      <w:r w:rsidRPr="00A02305">
        <w:rPr>
          <w:rFonts w:ascii="Times New Roman" w:eastAsia="Times New Roman" w:hAnsi="Times New Roman" w:cs="Times New Roman"/>
          <w:color w:val="000000"/>
          <w:sz w:val="24"/>
          <w:szCs w:val="24"/>
        </w:rPr>
        <w:t xml:space="preserve">ot be available on the date of the transaction. The buyer would be required to sign an extraordinary power of attorney </w:t>
      </w:r>
      <w:r w:rsidR="00F65CC3" w:rsidRPr="00A02305">
        <w:rPr>
          <w:rFonts w:ascii="Times New Roman" w:eastAsia="Times New Roman" w:hAnsi="Times New Roman" w:cs="Times New Roman"/>
          <w:color w:val="000000"/>
          <w:sz w:val="24"/>
          <w:szCs w:val="24"/>
        </w:rPr>
        <w:t xml:space="preserve">to appoint the lawyer as the agent to act on the buyer’s </w:t>
      </w:r>
      <w:r w:rsidR="00291A33" w:rsidRPr="00A02305">
        <w:rPr>
          <w:rFonts w:ascii="Times New Roman" w:eastAsia="Times New Roman" w:hAnsi="Times New Roman" w:cs="Times New Roman"/>
          <w:color w:val="000000"/>
          <w:sz w:val="24"/>
          <w:szCs w:val="24"/>
        </w:rPr>
        <w:t>behalf through</w:t>
      </w:r>
      <w:r w:rsidR="00F65CC3" w:rsidRPr="00A02305">
        <w:rPr>
          <w:rFonts w:ascii="Times New Roman" w:eastAsia="Times New Roman" w:hAnsi="Times New Roman" w:cs="Times New Roman"/>
          <w:color w:val="000000"/>
          <w:sz w:val="24"/>
          <w:szCs w:val="24"/>
        </w:rPr>
        <w:t xml:space="preserve"> signing the deed as well as other required documentation to close the transaction (p. 679).</w:t>
      </w:r>
      <w:r w:rsidR="00291A33" w:rsidRPr="00A02305">
        <w:rPr>
          <w:rFonts w:ascii="Times New Roman" w:eastAsia="Times New Roman" w:hAnsi="Times New Roman" w:cs="Times New Roman"/>
          <w:color w:val="000000"/>
          <w:sz w:val="24"/>
          <w:szCs w:val="24"/>
        </w:rPr>
        <w:t xml:space="preserve"> </w:t>
      </w:r>
    </w:p>
    <w:p w14:paraId="06E93A4B" w14:textId="15CD2170" w:rsidR="0094163C"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The agent is expected to behave in the best interest of the principal, in this case, the buyer of the real estate.</w:t>
      </w:r>
      <w:r w:rsidR="00B90A63" w:rsidRPr="00A02305">
        <w:rPr>
          <w:rFonts w:ascii="Times New Roman" w:eastAsia="Times New Roman" w:hAnsi="Times New Roman" w:cs="Times New Roman"/>
          <w:color w:val="000000"/>
          <w:sz w:val="24"/>
          <w:szCs w:val="24"/>
        </w:rPr>
        <w:t xml:space="preserve"> </w:t>
      </w:r>
      <w:r w:rsidR="003361A6" w:rsidRPr="00A02305">
        <w:rPr>
          <w:rFonts w:ascii="Times New Roman" w:eastAsia="Times New Roman" w:hAnsi="Times New Roman" w:cs="Times New Roman"/>
          <w:color w:val="000000"/>
          <w:sz w:val="24"/>
          <w:szCs w:val="24"/>
        </w:rPr>
        <w:t xml:space="preserve">However, the agent is not required to create a binding sales agreement between the buyer and seller. Therefore, the real estate agents are not authorized to sign a contract on the buyer’s </w:t>
      </w:r>
      <w:r w:rsidR="000523A8" w:rsidRPr="00A02305">
        <w:rPr>
          <w:rFonts w:ascii="Times New Roman" w:eastAsia="Times New Roman" w:hAnsi="Times New Roman" w:cs="Times New Roman"/>
          <w:color w:val="000000"/>
          <w:sz w:val="24"/>
          <w:szCs w:val="24"/>
        </w:rPr>
        <w:t>behalf but</w:t>
      </w:r>
      <w:r w:rsidR="003361A6" w:rsidRPr="00A02305">
        <w:rPr>
          <w:rFonts w:ascii="Times New Roman" w:eastAsia="Times New Roman" w:hAnsi="Times New Roman" w:cs="Times New Roman"/>
          <w:color w:val="000000"/>
          <w:sz w:val="24"/>
          <w:szCs w:val="24"/>
        </w:rPr>
        <w:t xml:space="preserve"> should bring the buyer as well as the seller together to sign the contract</w:t>
      </w:r>
      <w:r w:rsidR="00B60091" w:rsidRPr="00A02305">
        <w:rPr>
          <w:rFonts w:ascii="Times New Roman" w:eastAsia="Times New Roman" w:hAnsi="Times New Roman" w:cs="Times New Roman"/>
          <w:color w:val="000000"/>
          <w:sz w:val="24"/>
          <w:szCs w:val="24"/>
        </w:rPr>
        <w:t xml:space="preserve">. </w:t>
      </w:r>
    </w:p>
    <w:p w14:paraId="6DF040AC" w14:textId="7D2AD5EB" w:rsidR="00795DCC" w:rsidRPr="00A02305" w:rsidRDefault="00AB0A1B" w:rsidP="00A02305">
      <w:pPr>
        <w:numPr>
          <w:ilvl w:val="0"/>
          <w:numId w:val="12"/>
        </w:numPr>
        <w:spacing w:after="0" w:line="480" w:lineRule="auto"/>
        <w:rPr>
          <w:rFonts w:ascii="Times New Roman" w:eastAsia="Times New Roman" w:hAnsi="Times New Roman" w:cs="Times New Roman"/>
          <w:b/>
          <w:bCs/>
          <w:color w:val="000000"/>
          <w:sz w:val="24"/>
          <w:szCs w:val="24"/>
        </w:rPr>
      </w:pPr>
      <w:r w:rsidRPr="00A02305">
        <w:rPr>
          <w:rFonts w:ascii="Times New Roman" w:eastAsia="Times New Roman" w:hAnsi="Times New Roman" w:cs="Times New Roman"/>
          <w:b/>
          <w:bCs/>
          <w:color w:val="000000"/>
          <w:sz w:val="24"/>
          <w:szCs w:val="24"/>
        </w:rPr>
        <w:t xml:space="preserve">Our text explains that the proper delegation of authority to an agent is the binding </w:t>
      </w:r>
      <w:r w:rsidRPr="00A02305">
        <w:rPr>
          <w:rFonts w:ascii="Times New Roman" w:eastAsia="Times New Roman" w:hAnsi="Times New Roman" w:cs="Times New Roman"/>
          <w:b/>
          <w:bCs/>
          <w:color w:val="000000"/>
          <w:sz w:val="24"/>
          <w:szCs w:val="24"/>
        </w:rPr>
        <w:t xml:space="preserve">element for the agent and principal in their agreement. How is liability assigned when the employee commits an error or tort? In Example p 703, we read how a store clerk committed a crime of trespass in the direction of his employer. Who in this fiduciary </w:t>
      </w:r>
      <w:r w:rsidRPr="00A02305">
        <w:rPr>
          <w:rFonts w:ascii="Times New Roman" w:eastAsia="Times New Roman" w:hAnsi="Times New Roman" w:cs="Times New Roman"/>
          <w:b/>
          <w:bCs/>
          <w:color w:val="000000"/>
          <w:sz w:val="24"/>
          <w:szCs w:val="24"/>
        </w:rPr>
        <w:t>agreement is liable for the tort?</w:t>
      </w:r>
    </w:p>
    <w:p w14:paraId="6F5D9A98" w14:textId="400BE3F6" w:rsidR="00291A33" w:rsidRPr="00A02305" w:rsidRDefault="00291A33" w:rsidP="00A02305">
      <w:pPr>
        <w:spacing w:after="0" w:line="480" w:lineRule="auto"/>
        <w:ind w:left="720"/>
        <w:rPr>
          <w:rFonts w:ascii="Times New Roman" w:eastAsia="Times New Roman" w:hAnsi="Times New Roman" w:cs="Times New Roman"/>
          <w:color w:val="000000"/>
          <w:sz w:val="24"/>
          <w:szCs w:val="24"/>
        </w:rPr>
      </w:pPr>
    </w:p>
    <w:p w14:paraId="233535ED" w14:textId="63BBB206" w:rsidR="00AC24CB"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lastRenderedPageBreak/>
        <w:t xml:space="preserve">The employers are liable to the third parties in the case of torts committed by the employees only within the scope of their employment as well as in the prosecution of the employer's business. </w:t>
      </w:r>
      <w:r w:rsidR="00FB50E4" w:rsidRPr="00A02305">
        <w:rPr>
          <w:rFonts w:ascii="Times New Roman" w:eastAsia="Times New Roman" w:hAnsi="Times New Roman" w:cs="Times New Roman"/>
          <w:color w:val="000000"/>
          <w:sz w:val="24"/>
          <w:szCs w:val="24"/>
        </w:rPr>
        <w:t>This means that the employers pay for the wrongs that are committed by other people; in this case, the employees. However, there are some critical constraints</w:t>
      </w:r>
      <w:r w:rsidR="00A20F5D" w:rsidRPr="00A02305">
        <w:rPr>
          <w:rFonts w:ascii="Times New Roman" w:eastAsia="Times New Roman" w:hAnsi="Times New Roman" w:cs="Times New Roman"/>
          <w:color w:val="000000"/>
          <w:sz w:val="24"/>
          <w:szCs w:val="24"/>
        </w:rPr>
        <w:t xml:space="preserve">, including the nature of the employment, the right of control, and whether the employer furnished the instrumentality. At times, there is a need to evaluate the degree of authorization as well as the time of happening. The majority of the courts to assess also on the </w:t>
      </w:r>
      <w:r w:rsidR="000D348C" w:rsidRPr="00A02305">
        <w:rPr>
          <w:rFonts w:ascii="Times New Roman" w:eastAsia="Times New Roman" w:hAnsi="Times New Roman" w:cs="Times New Roman"/>
          <w:color w:val="000000"/>
          <w:sz w:val="24"/>
          <w:szCs w:val="24"/>
        </w:rPr>
        <w:t>employee’s</w:t>
      </w:r>
      <w:r w:rsidR="00A20F5D" w:rsidRPr="00A02305">
        <w:rPr>
          <w:rFonts w:ascii="Times New Roman" w:eastAsia="Times New Roman" w:hAnsi="Times New Roman" w:cs="Times New Roman"/>
          <w:color w:val="000000"/>
          <w:sz w:val="24"/>
          <w:szCs w:val="24"/>
        </w:rPr>
        <w:t xml:space="preserve"> intention as well as the deviation extend from the employer’s expected results against the actual outcome involved in the tort. </w:t>
      </w:r>
    </w:p>
    <w:p w14:paraId="34EDEEEF" w14:textId="2401729B" w:rsidR="00795DCC"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 xml:space="preserve">In the example, Mathew is liable for the mistake committed by the employee Stewart in the repossession of the television from </w:t>
      </w:r>
      <w:r w:rsidRPr="00A02305">
        <w:rPr>
          <w:rFonts w:ascii="Times New Roman" w:eastAsia="Times New Roman" w:hAnsi="Times New Roman" w:cs="Times New Roman"/>
          <w:color w:val="000000"/>
          <w:sz w:val="24"/>
          <w:szCs w:val="24"/>
        </w:rPr>
        <w:t>Trevor. This is because Matthew, the principal, instructed Stewart, agent, to collect on his behalf. Mathew made the bookkeeping error; hence, the employee was not liable for the tort</w:t>
      </w:r>
      <w:r w:rsidR="00CF55F5" w:rsidRPr="00A02305">
        <w:rPr>
          <w:rFonts w:ascii="Times New Roman" w:eastAsia="Times New Roman" w:hAnsi="Times New Roman" w:cs="Times New Roman"/>
          <w:color w:val="000000"/>
          <w:sz w:val="24"/>
          <w:szCs w:val="24"/>
        </w:rPr>
        <w:t xml:space="preserve"> (</w:t>
      </w:r>
      <w:r w:rsidR="00A02305" w:rsidRPr="00A02305">
        <w:rPr>
          <w:rFonts w:ascii="Times New Roman" w:hAnsi="Times New Roman" w:cs="Times New Roman"/>
          <w:sz w:val="24"/>
          <w:szCs w:val="24"/>
        </w:rPr>
        <w:t>Morgan p</w:t>
      </w:r>
      <w:r w:rsidR="00CF55F5" w:rsidRPr="00A02305">
        <w:rPr>
          <w:rFonts w:ascii="Times New Roman" w:eastAsia="Times New Roman" w:hAnsi="Times New Roman" w:cs="Times New Roman"/>
          <w:color w:val="000000"/>
          <w:sz w:val="24"/>
          <w:szCs w:val="24"/>
        </w:rPr>
        <w:t>. 703).</w:t>
      </w:r>
    </w:p>
    <w:p w14:paraId="64825520" w14:textId="2FBE8E65" w:rsidR="00CF55F5" w:rsidRPr="00F85FDC" w:rsidRDefault="00AB0A1B" w:rsidP="008C2738">
      <w:pPr>
        <w:numPr>
          <w:ilvl w:val="0"/>
          <w:numId w:val="13"/>
        </w:numPr>
        <w:spacing w:after="0" w:line="480" w:lineRule="auto"/>
        <w:rPr>
          <w:rFonts w:ascii="Times New Roman" w:eastAsia="Times New Roman" w:hAnsi="Times New Roman" w:cs="Times New Roman"/>
          <w:color w:val="000000"/>
          <w:sz w:val="24"/>
          <w:szCs w:val="24"/>
        </w:rPr>
      </w:pPr>
      <w:r w:rsidRPr="00F85FDC">
        <w:rPr>
          <w:rFonts w:ascii="Times New Roman" w:eastAsia="Times New Roman" w:hAnsi="Times New Roman" w:cs="Times New Roman"/>
          <w:b/>
          <w:bCs/>
          <w:color w:val="000000"/>
          <w:sz w:val="24"/>
          <w:szCs w:val="24"/>
        </w:rPr>
        <w:t>In Review Question 10, p. 712, we read how a farmer con</w:t>
      </w:r>
      <w:r w:rsidRPr="00F85FDC">
        <w:rPr>
          <w:rFonts w:ascii="Times New Roman" w:eastAsia="Times New Roman" w:hAnsi="Times New Roman" w:cs="Times New Roman"/>
          <w:b/>
          <w:bCs/>
          <w:color w:val="000000"/>
          <w:sz w:val="24"/>
          <w:szCs w:val="24"/>
        </w:rPr>
        <w:t>tracted with a crop duster who accidentally poisoned the neighbor's lake.  Describe the difference in tort liabilities between an employee as an agent and an independent contractor.  Who should pay for the damages to the lake?</w:t>
      </w:r>
    </w:p>
    <w:p w14:paraId="08607AF2" w14:textId="597AC8E3" w:rsidR="007B681D"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An agent implies to the indiv</w:t>
      </w:r>
      <w:r w:rsidRPr="00A02305">
        <w:rPr>
          <w:rFonts w:ascii="Times New Roman" w:eastAsia="Times New Roman" w:hAnsi="Times New Roman" w:cs="Times New Roman"/>
          <w:color w:val="000000"/>
          <w:sz w:val="24"/>
          <w:szCs w:val="24"/>
        </w:rPr>
        <w:t xml:space="preserve">idual as well as the entity that ab employee or independent contractor offer services for the principal on an ongoing basis. An independent contractor is another individual or entity other than the employee that renders the services to the organization.   </w:t>
      </w:r>
      <w:r w:rsidRPr="00A02305">
        <w:rPr>
          <w:rFonts w:ascii="Times New Roman" w:eastAsia="Times New Roman" w:hAnsi="Times New Roman" w:cs="Times New Roman"/>
          <w:color w:val="000000"/>
          <w:sz w:val="24"/>
          <w:szCs w:val="24"/>
        </w:rPr>
        <w:t xml:space="preserve">In the cases, Joiner hired an Independent contractor to spray pesticides on his crops. However, there was a mistake where Borough's fishing lake in the vicinity was damaged. The fact that Borough sued Joined is </w:t>
      </w:r>
      <w:r w:rsidRPr="00A02305">
        <w:rPr>
          <w:rFonts w:ascii="Times New Roman" w:eastAsia="Times New Roman" w:hAnsi="Times New Roman" w:cs="Times New Roman"/>
          <w:color w:val="000000"/>
          <w:sz w:val="24"/>
          <w:szCs w:val="24"/>
        </w:rPr>
        <w:lastRenderedPageBreak/>
        <w:t>argument lacks merit because the damage was i</w:t>
      </w:r>
      <w:r w:rsidRPr="00A02305">
        <w:rPr>
          <w:rFonts w:ascii="Times New Roman" w:eastAsia="Times New Roman" w:hAnsi="Times New Roman" w:cs="Times New Roman"/>
          <w:color w:val="000000"/>
          <w:sz w:val="24"/>
          <w:szCs w:val="24"/>
        </w:rPr>
        <w:t xml:space="preserve">nflicted by an independent contractor hired by Joiner but not his agent. The law of tort protects companies from liabilities for tort claims emanating from operations activities by the independent contractors. </w:t>
      </w:r>
      <w:r w:rsidR="00E94C78" w:rsidRPr="00A02305">
        <w:rPr>
          <w:rFonts w:ascii="Times New Roman" w:eastAsia="Times New Roman" w:hAnsi="Times New Roman" w:cs="Times New Roman"/>
          <w:color w:val="000000"/>
          <w:sz w:val="24"/>
          <w:szCs w:val="24"/>
        </w:rPr>
        <w:t>The independent contractor has the outright powers to control the details within the scope of his work he or she is undertaking for the employer. This means that an independent contractor is liable for tort claims.</w:t>
      </w:r>
    </w:p>
    <w:p w14:paraId="56799BE2" w14:textId="3B5269A6" w:rsidR="00E94C78"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rPr>
        <w:t>However, to some extent, the employer is liable since he is responsible for supervising the work done by independent contractors to ensure he or she is satisfied. Therefore, he should have stopped the job until a solution was obtained to prevent the sprays</w:t>
      </w:r>
      <w:r w:rsidRPr="00A02305">
        <w:rPr>
          <w:rFonts w:ascii="Times New Roman" w:eastAsia="Times New Roman" w:hAnsi="Times New Roman" w:cs="Times New Roman"/>
          <w:color w:val="000000"/>
          <w:sz w:val="24"/>
          <w:szCs w:val="24"/>
        </w:rPr>
        <w:t xml:space="preserve"> from </w:t>
      </w:r>
      <w:r w:rsidR="00A10151" w:rsidRPr="00A02305">
        <w:rPr>
          <w:rFonts w:ascii="Times New Roman" w:eastAsia="Times New Roman" w:hAnsi="Times New Roman" w:cs="Times New Roman"/>
          <w:color w:val="000000"/>
          <w:sz w:val="24"/>
          <w:szCs w:val="24"/>
        </w:rPr>
        <w:t>hitting</w:t>
      </w:r>
      <w:r w:rsidRPr="00A02305">
        <w:rPr>
          <w:rFonts w:ascii="Times New Roman" w:eastAsia="Times New Roman" w:hAnsi="Times New Roman" w:cs="Times New Roman"/>
          <w:color w:val="000000"/>
          <w:sz w:val="24"/>
          <w:szCs w:val="24"/>
        </w:rPr>
        <w:t xml:space="preserve"> the Borough's fishing lake. In this case, the employer is liable for tort claims</w:t>
      </w:r>
      <w:r w:rsidR="00A02305" w:rsidRPr="00A02305">
        <w:rPr>
          <w:rFonts w:ascii="Times New Roman" w:eastAsia="Times New Roman" w:hAnsi="Times New Roman" w:cs="Times New Roman"/>
          <w:color w:val="000000"/>
          <w:sz w:val="24"/>
          <w:szCs w:val="24"/>
        </w:rPr>
        <w:t xml:space="preserve"> (</w:t>
      </w:r>
      <w:r w:rsidR="00A02305" w:rsidRPr="00A02305">
        <w:rPr>
          <w:rFonts w:ascii="Times New Roman" w:hAnsi="Times New Roman" w:cs="Times New Roman"/>
          <w:sz w:val="24"/>
          <w:szCs w:val="24"/>
        </w:rPr>
        <w:t>Morgan p. 712)</w:t>
      </w:r>
      <w:r w:rsidRPr="00A02305">
        <w:rPr>
          <w:rFonts w:ascii="Times New Roman" w:eastAsia="Times New Roman" w:hAnsi="Times New Roman" w:cs="Times New Roman"/>
          <w:color w:val="000000"/>
          <w:sz w:val="24"/>
          <w:szCs w:val="24"/>
        </w:rPr>
        <w:t xml:space="preserve"> </w:t>
      </w:r>
    </w:p>
    <w:p w14:paraId="7FCC5D75" w14:textId="77777777" w:rsidR="0036622E" w:rsidRPr="00A02305" w:rsidRDefault="0036622E" w:rsidP="00F85FDC">
      <w:pPr>
        <w:spacing w:after="0" w:line="480" w:lineRule="auto"/>
        <w:ind w:firstLine="720"/>
        <w:jc w:val="center"/>
        <w:rPr>
          <w:rFonts w:ascii="Times New Roman" w:hAnsi="Times New Roman" w:cs="Times New Roman"/>
          <w:b/>
          <w:sz w:val="24"/>
          <w:szCs w:val="24"/>
        </w:rPr>
      </w:pPr>
    </w:p>
    <w:p w14:paraId="5E2A608A" w14:textId="77777777" w:rsidR="0036622E" w:rsidRPr="00A02305" w:rsidRDefault="00AB0A1B" w:rsidP="00A02305">
      <w:pPr>
        <w:spacing w:after="0" w:line="480" w:lineRule="auto"/>
        <w:jc w:val="center"/>
        <w:rPr>
          <w:rFonts w:ascii="Times New Roman" w:hAnsi="Times New Roman" w:cs="Times New Roman"/>
          <w:b/>
          <w:sz w:val="24"/>
          <w:szCs w:val="24"/>
        </w:rPr>
      </w:pPr>
      <w:r w:rsidRPr="00A02305">
        <w:rPr>
          <w:rFonts w:ascii="Times New Roman" w:hAnsi="Times New Roman" w:cs="Times New Roman"/>
          <w:b/>
          <w:sz w:val="24"/>
          <w:szCs w:val="24"/>
        </w:rPr>
        <w:t>PART TWO</w:t>
      </w:r>
    </w:p>
    <w:p w14:paraId="1AC684E6" w14:textId="77777777" w:rsidR="00795DCC" w:rsidRPr="00A02305" w:rsidRDefault="00AB0A1B" w:rsidP="00F85FDC">
      <w:pPr>
        <w:spacing w:after="0" w:line="480" w:lineRule="auto"/>
        <w:ind w:left="720"/>
        <w:rPr>
          <w:rFonts w:ascii="Times New Roman" w:eastAsia="Times New Roman" w:hAnsi="Times New Roman" w:cs="Times New Roman"/>
          <w:color w:val="000000"/>
          <w:sz w:val="24"/>
          <w:szCs w:val="24"/>
        </w:rPr>
      </w:pPr>
      <w:r w:rsidRPr="00A02305">
        <w:rPr>
          <w:rFonts w:ascii="Times New Roman" w:eastAsia="Times New Roman" w:hAnsi="Times New Roman" w:cs="Times New Roman"/>
          <w:b/>
          <w:bCs/>
          <w:color w:val="000000"/>
          <w:sz w:val="24"/>
          <w:szCs w:val="24"/>
          <w:bdr w:val="none" w:sz="0" w:space="0" w:color="auto" w:frame="1"/>
        </w:rPr>
        <w:t>Class Discussion Case 32.2 p 706 Arthur Riley v. Standard Oil</w:t>
      </w:r>
    </w:p>
    <w:p w14:paraId="0C51AE2D" w14:textId="39866E28" w:rsidR="00795DCC" w:rsidRPr="00A02305" w:rsidRDefault="00AB0A1B" w:rsidP="00F85FDC">
      <w:pPr>
        <w:spacing w:after="0" w:line="480" w:lineRule="auto"/>
        <w:ind w:left="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bdr w:val="none" w:sz="0" w:space="0" w:color="auto" w:frame="1"/>
        </w:rPr>
        <w:t>Poor little Arthur was run over by a truck driven by Million, an employe</w:t>
      </w:r>
      <w:r w:rsidRPr="00A02305">
        <w:rPr>
          <w:rFonts w:ascii="Times New Roman" w:eastAsia="Times New Roman" w:hAnsi="Times New Roman" w:cs="Times New Roman"/>
          <w:color w:val="000000"/>
          <w:sz w:val="24"/>
          <w:szCs w:val="24"/>
          <w:bdr w:val="none" w:sz="0" w:space="0" w:color="auto" w:frame="1"/>
        </w:rPr>
        <w:t>e of Standard Oil. Details reveal that Million did not wholly follow instructions, having made a detour to his sister's house before proceeding to his delivery.</w:t>
      </w:r>
    </w:p>
    <w:p w14:paraId="3493B9BB" w14:textId="5C50C028" w:rsidR="00795DCC" w:rsidRPr="00A02305" w:rsidRDefault="00AB0A1B" w:rsidP="00A02305">
      <w:pPr>
        <w:pStyle w:val="ListParagraph"/>
        <w:numPr>
          <w:ilvl w:val="0"/>
          <w:numId w:val="14"/>
        </w:numPr>
        <w:spacing w:after="0" w:line="480" w:lineRule="auto"/>
        <w:rPr>
          <w:rFonts w:ascii="Times New Roman" w:eastAsia="Times New Roman" w:hAnsi="Times New Roman" w:cs="Times New Roman"/>
          <w:b/>
          <w:bCs/>
          <w:color w:val="000000"/>
          <w:sz w:val="24"/>
          <w:szCs w:val="24"/>
        </w:rPr>
      </w:pPr>
      <w:r w:rsidRPr="00A02305">
        <w:rPr>
          <w:rFonts w:ascii="Times New Roman" w:eastAsia="Times New Roman" w:hAnsi="Times New Roman" w:cs="Times New Roman"/>
          <w:b/>
          <w:bCs/>
          <w:color w:val="000000"/>
          <w:sz w:val="24"/>
          <w:szCs w:val="24"/>
          <w:bdr w:val="none" w:sz="0" w:space="0" w:color="auto" w:frame="1"/>
        </w:rPr>
        <w:t xml:space="preserve">Describe the agency relationship between Million and Standard Oil. Were they similar to the </w:t>
      </w:r>
      <w:r w:rsidRPr="00A02305">
        <w:rPr>
          <w:rFonts w:ascii="Times New Roman" w:eastAsia="Times New Roman" w:hAnsi="Times New Roman" w:cs="Times New Roman"/>
          <w:b/>
          <w:bCs/>
          <w:color w:val="000000"/>
          <w:sz w:val="24"/>
          <w:szCs w:val="24"/>
          <w:bdr w:val="none" w:sz="0" w:space="0" w:color="auto" w:frame="1"/>
        </w:rPr>
        <w:t>servant and master?</w:t>
      </w:r>
    </w:p>
    <w:p w14:paraId="19B7188A" w14:textId="77777777" w:rsidR="007431A6" w:rsidRPr="00A02305" w:rsidRDefault="007431A6" w:rsidP="00A02305">
      <w:pPr>
        <w:pStyle w:val="ListParagraph"/>
        <w:spacing w:after="0" w:line="480" w:lineRule="auto"/>
        <w:rPr>
          <w:rFonts w:ascii="Times New Roman" w:eastAsia="Times New Roman" w:hAnsi="Times New Roman" w:cs="Times New Roman"/>
          <w:color w:val="000000"/>
          <w:sz w:val="24"/>
          <w:szCs w:val="24"/>
          <w:bdr w:val="none" w:sz="0" w:space="0" w:color="auto" w:frame="1"/>
        </w:rPr>
      </w:pPr>
    </w:p>
    <w:p w14:paraId="22491C6B" w14:textId="05B3FE22" w:rsidR="00795DCC" w:rsidRPr="00A02305" w:rsidRDefault="00AB0A1B" w:rsidP="00F85FDC">
      <w:pPr>
        <w:pStyle w:val="ListParagraph"/>
        <w:spacing w:after="0" w:line="480" w:lineRule="auto"/>
        <w:ind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bdr w:val="none" w:sz="0" w:space="0" w:color="auto" w:frame="1"/>
        </w:rPr>
        <w:t xml:space="preserve">Yes, they are similar to servant and master. In modern tort, an employee, Million, and employer, standard oil clearly describe the contractual agreement between the agent </w:t>
      </w:r>
      <w:r w:rsidRPr="00A02305">
        <w:rPr>
          <w:rFonts w:ascii="Times New Roman" w:eastAsia="Times New Roman" w:hAnsi="Times New Roman" w:cs="Times New Roman"/>
          <w:color w:val="000000"/>
          <w:sz w:val="24"/>
          <w:szCs w:val="24"/>
          <w:bdr w:val="none" w:sz="0" w:space="0" w:color="auto" w:frame="1"/>
        </w:rPr>
        <w:lastRenderedPageBreak/>
        <w:t xml:space="preserve">and the principal. In this case, Million is </w:t>
      </w:r>
      <w:r w:rsidR="00A10151" w:rsidRPr="00A02305">
        <w:rPr>
          <w:rFonts w:ascii="Times New Roman" w:eastAsia="Times New Roman" w:hAnsi="Times New Roman" w:cs="Times New Roman"/>
          <w:color w:val="000000"/>
          <w:sz w:val="24"/>
          <w:szCs w:val="24"/>
          <w:bdr w:val="none" w:sz="0" w:space="0" w:color="auto" w:frame="1"/>
        </w:rPr>
        <w:t>an</w:t>
      </w:r>
      <w:r w:rsidRPr="00A02305">
        <w:rPr>
          <w:rFonts w:ascii="Times New Roman" w:eastAsia="Times New Roman" w:hAnsi="Times New Roman" w:cs="Times New Roman"/>
          <w:color w:val="000000"/>
          <w:sz w:val="24"/>
          <w:szCs w:val="24"/>
          <w:bdr w:val="none" w:sz="0" w:space="0" w:color="auto" w:frame="1"/>
        </w:rPr>
        <w:t xml:space="preserve"> agent employed to act on behalf of Sta</w:t>
      </w:r>
      <w:r w:rsidRPr="00A02305">
        <w:rPr>
          <w:rFonts w:ascii="Times New Roman" w:eastAsia="Times New Roman" w:hAnsi="Times New Roman" w:cs="Times New Roman"/>
          <w:color w:val="000000"/>
          <w:sz w:val="24"/>
          <w:szCs w:val="24"/>
          <w:bdr w:val="none" w:sz="0" w:space="0" w:color="auto" w:frame="1"/>
        </w:rPr>
        <w:t>ndard Oil, who is the principal in this case (</w:t>
      </w:r>
      <w:r w:rsidR="00A02305" w:rsidRPr="00A02305">
        <w:rPr>
          <w:rFonts w:ascii="Times New Roman" w:hAnsi="Times New Roman" w:cs="Times New Roman"/>
          <w:sz w:val="24"/>
          <w:szCs w:val="24"/>
        </w:rPr>
        <w:t>Morgan p</w:t>
      </w:r>
      <w:r w:rsidRPr="00A02305">
        <w:rPr>
          <w:rFonts w:ascii="Times New Roman" w:eastAsia="Times New Roman" w:hAnsi="Times New Roman" w:cs="Times New Roman"/>
          <w:color w:val="000000"/>
          <w:sz w:val="24"/>
          <w:szCs w:val="24"/>
          <w:bdr w:val="none" w:sz="0" w:space="0" w:color="auto" w:frame="1"/>
        </w:rPr>
        <w:t>. 706).  </w:t>
      </w:r>
    </w:p>
    <w:p w14:paraId="03543B30" w14:textId="70DB94F7" w:rsidR="00795DCC" w:rsidRPr="00F85FDC" w:rsidRDefault="00AB0A1B" w:rsidP="00CF1365">
      <w:pPr>
        <w:pStyle w:val="ListParagraph"/>
        <w:numPr>
          <w:ilvl w:val="0"/>
          <w:numId w:val="14"/>
        </w:numPr>
        <w:spacing w:after="0" w:line="480" w:lineRule="auto"/>
        <w:rPr>
          <w:rFonts w:ascii="Times New Roman" w:eastAsia="Times New Roman" w:hAnsi="Times New Roman" w:cs="Times New Roman"/>
          <w:color w:val="000000"/>
          <w:sz w:val="24"/>
          <w:szCs w:val="24"/>
          <w:bdr w:val="none" w:sz="0" w:space="0" w:color="auto" w:frame="1"/>
        </w:rPr>
      </w:pPr>
      <w:r w:rsidRPr="00F85FDC">
        <w:rPr>
          <w:rFonts w:ascii="Times New Roman" w:eastAsia="Times New Roman" w:hAnsi="Times New Roman" w:cs="Times New Roman"/>
          <w:b/>
          <w:bCs/>
          <w:color w:val="000000"/>
          <w:sz w:val="24"/>
          <w:szCs w:val="24"/>
          <w:bdr w:val="none" w:sz="0" w:space="0" w:color="auto" w:frame="1"/>
        </w:rPr>
        <w:t>What was the basis of Standard Oil’s denial of liability? Wasn’t Million driving a company truck?</w:t>
      </w:r>
      <w:r w:rsidRPr="00F85FDC">
        <w:rPr>
          <w:rFonts w:ascii="Times New Roman" w:eastAsia="Times New Roman" w:hAnsi="Times New Roman" w:cs="Times New Roman"/>
          <w:color w:val="000000"/>
          <w:sz w:val="24"/>
          <w:szCs w:val="24"/>
          <w:bdr w:val="none" w:sz="0" w:space="0" w:color="auto" w:frame="1"/>
        </w:rPr>
        <w:t> </w:t>
      </w:r>
    </w:p>
    <w:p w14:paraId="74F87279" w14:textId="782A5938" w:rsidR="007431A6" w:rsidRPr="00A02305" w:rsidRDefault="00AB0A1B" w:rsidP="00F85FDC">
      <w:pPr>
        <w:spacing w:after="0" w:line="480" w:lineRule="auto"/>
        <w:ind w:left="720" w:firstLine="720"/>
        <w:rPr>
          <w:rFonts w:ascii="Times New Roman" w:eastAsia="Times New Roman" w:hAnsi="Times New Roman" w:cs="Times New Roman"/>
          <w:color w:val="000000"/>
          <w:sz w:val="24"/>
          <w:szCs w:val="24"/>
        </w:rPr>
      </w:pPr>
      <w:r w:rsidRPr="00A02305">
        <w:rPr>
          <w:rFonts w:ascii="Times New Roman" w:eastAsia="Times New Roman" w:hAnsi="Times New Roman" w:cs="Times New Roman"/>
          <w:color w:val="000000"/>
          <w:sz w:val="24"/>
          <w:szCs w:val="24"/>
          <w:bdr w:val="none" w:sz="0" w:space="0" w:color="auto" w:frame="1"/>
        </w:rPr>
        <w:t xml:space="preserve">Although standard oil contracted the agent Million to carry out its operations on his behalf, some limitations do exist hence denial of liability. When Million hit Artur </w:t>
      </w:r>
      <w:r w:rsidR="00F605DA" w:rsidRPr="00A02305">
        <w:rPr>
          <w:rFonts w:ascii="Times New Roman" w:eastAsia="Times New Roman" w:hAnsi="Times New Roman" w:cs="Times New Roman"/>
          <w:color w:val="000000"/>
          <w:sz w:val="24"/>
          <w:szCs w:val="24"/>
          <w:bdr w:val="none" w:sz="0" w:space="0" w:color="auto" w:frame="1"/>
        </w:rPr>
        <w:t xml:space="preserve">acted out of negligence since he detoured to his </w:t>
      </w:r>
      <w:r w:rsidR="00A03E76" w:rsidRPr="00A02305">
        <w:rPr>
          <w:rFonts w:ascii="Times New Roman" w:eastAsia="Times New Roman" w:hAnsi="Times New Roman" w:cs="Times New Roman"/>
          <w:color w:val="000000"/>
          <w:sz w:val="24"/>
          <w:szCs w:val="24"/>
          <w:bdr w:val="none" w:sz="0" w:space="0" w:color="auto" w:frame="1"/>
        </w:rPr>
        <w:t>sister’s</w:t>
      </w:r>
      <w:r w:rsidR="00F605DA" w:rsidRPr="00A02305">
        <w:rPr>
          <w:rFonts w:ascii="Times New Roman" w:eastAsia="Times New Roman" w:hAnsi="Times New Roman" w:cs="Times New Roman"/>
          <w:color w:val="000000"/>
          <w:sz w:val="24"/>
          <w:szCs w:val="24"/>
          <w:bdr w:val="none" w:sz="0" w:space="0" w:color="auto" w:frame="1"/>
        </w:rPr>
        <w:t xml:space="preserve"> house contrary to the principal instructions. </w:t>
      </w:r>
      <w:r w:rsidR="00A03E76" w:rsidRPr="00A02305">
        <w:rPr>
          <w:rFonts w:ascii="Times New Roman" w:eastAsia="Times New Roman" w:hAnsi="Times New Roman" w:cs="Times New Roman"/>
          <w:color w:val="000000"/>
          <w:sz w:val="24"/>
          <w:szCs w:val="24"/>
          <w:bdr w:val="none" w:sz="0" w:space="0" w:color="auto" w:frame="1"/>
        </w:rPr>
        <w:t>For the principal to held liable, Million ought to have adhered to the standard oil instructions. Therefore, Million was responsible for tort claims</w:t>
      </w:r>
      <w:r w:rsidR="00A02305" w:rsidRPr="00A02305">
        <w:rPr>
          <w:rFonts w:ascii="Times New Roman" w:eastAsia="Times New Roman" w:hAnsi="Times New Roman" w:cs="Times New Roman"/>
          <w:color w:val="000000"/>
          <w:sz w:val="24"/>
          <w:szCs w:val="24"/>
          <w:bdr w:val="none" w:sz="0" w:space="0" w:color="auto" w:frame="1"/>
        </w:rPr>
        <w:t xml:space="preserve"> (</w:t>
      </w:r>
      <w:r w:rsidR="00A02305" w:rsidRPr="00A02305">
        <w:rPr>
          <w:rFonts w:ascii="Times New Roman" w:hAnsi="Times New Roman" w:cs="Times New Roman"/>
          <w:sz w:val="24"/>
          <w:szCs w:val="24"/>
        </w:rPr>
        <w:t>Morgan p. 706)</w:t>
      </w:r>
      <w:r w:rsidR="00F85FDC">
        <w:rPr>
          <w:rFonts w:ascii="Times New Roman" w:hAnsi="Times New Roman" w:cs="Times New Roman"/>
          <w:sz w:val="24"/>
          <w:szCs w:val="24"/>
        </w:rPr>
        <w:t>.</w:t>
      </w:r>
    </w:p>
    <w:p w14:paraId="352FBDFD" w14:textId="1FF0DFB8" w:rsidR="0036622E" w:rsidRPr="00F85FDC" w:rsidRDefault="00AB0A1B" w:rsidP="002F0701">
      <w:pPr>
        <w:pStyle w:val="ListParagraph"/>
        <w:numPr>
          <w:ilvl w:val="0"/>
          <w:numId w:val="14"/>
        </w:numPr>
        <w:spacing w:after="0" w:line="480" w:lineRule="auto"/>
        <w:rPr>
          <w:rFonts w:ascii="Times New Roman" w:hAnsi="Times New Roman" w:cs="Times New Roman"/>
          <w:sz w:val="24"/>
          <w:szCs w:val="24"/>
        </w:rPr>
      </w:pPr>
      <w:r w:rsidRPr="00F85FDC">
        <w:rPr>
          <w:rFonts w:ascii="Times New Roman" w:eastAsia="Times New Roman" w:hAnsi="Times New Roman" w:cs="Times New Roman"/>
          <w:b/>
          <w:bCs/>
          <w:color w:val="000000"/>
          <w:sz w:val="24"/>
          <w:szCs w:val="24"/>
          <w:bdr w:val="none" w:sz="0" w:space="0" w:color="auto" w:frame="1"/>
        </w:rPr>
        <w:t xml:space="preserve">You be the judge and apply legal reasoning: Which party should be </w:t>
      </w:r>
      <w:r w:rsidRPr="00F85FDC">
        <w:rPr>
          <w:rFonts w:ascii="Times New Roman" w:eastAsia="Times New Roman" w:hAnsi="Times New Roman" w:cs="Times New Roman"/>
          <w:b/>
          <w:bCs/>
          <w:color w:val="000000"/>
          <w:sz w:val="24"/>
          <w:szCs w:val="24"/>
          <w:bdr w:val="none" w:sz="0" w:space="0" w:color="auto" w:frame="1"/>
        </w:rPr>
        <w:t>liable for the tort to Arthur?</w:t>
      </w:r>
    </w:p>
    <w:p w14:paraId="551B403A" w14:textId="056653F1" w:rsidR="00A02305" w:rsidRDefault="00AB0A1B" w:rsidP="00A10151">
      <w:pPr>
        <w:spacing w:after="0" w:line="480" w:lineRule="auto"/>
        <w:ind w:left="720" w:firstLine="720"/>
        <w:rPr>
          <w:rFonts w:ascii="Times New Roman" w:hAnsi="Times New Roman" w:cs="Times New Roman"/>
          <w:sz w:val="24"/>
          <w:szCs w:val="24"/>
        </w:rPr>
      </w:pPr>
      <w:r w:rsidRPr="00A02305">
        <w:rPr>
          <w:rFonts w:ascii="Times New Roman" w:hAnsi="Times New Roman" w:cs="Times New Roman"/>
          <w:sz w:val="24"/>
          <w:szCs w:val="24"/>
        </w:rPr>
        <w:t>The party that should be liable for the tort claims is the Million. Although he was contracted as an agent to standard oil, he acted contrary to the instructions of the principal. The principal can only take the liabilities o</w:t>
      </w:r>
      <w:r w:rsidRPr="00A02305">
        <w:rPr>
          <w:rFonts w:ascii="Times New Roman" w:hAnsi="Times New Roman" w:cs="Times New Roman"/>
          <w:sz w:val="24"/>
          <w:szCs w:val="24"/>
        </w:rPr>
        <w:t>f his or her agent as long they are under their control and supervision. Mr. Million diverted to his Sister's house when the eventuality occurred and had diverted from official duties and responsibilities. Consequently, the liabilities are placed on him (M</w:t>
      </w:r>
      <w:r w:rsidRPr="00A02305">
        <w:rPr>
          <w:rFonts w:ascii="Times New Roman" w:hAnsi="Times New Roman" w:cs="Times New Roman"/>
          <w:sz w:val="24"/>
          <w:szCs w:val="24"/>
        </w:rPr>
        <w:t>organ p. 706).</w:t>
      </w:r>
    </w:p>
    <w:p w14:paraId="41AEF208" w14:textId="6F88008F" w:rsidR="00A10151" w:rsidRDefault="00A10151" w:rsidP="00A10151">
      <w:pPr>
        <w:spacing w:after="0" w:line="480" w:lineRule="auto"/>
        <w:ind w:left="720" w:firstLine="720"/>
        <w:rPr>
          <w:rFonts w:ascii="Times New Roman" w:hAnsi="Times New Roman" w:cs="Times New Roman"/>
          <w:sz w:val="24"/>
          <w:szCs w:val="24"/>
        </w:rPr>
      </w:pPr>
    </w:p>
    <w:p w14:paraId="4F8A5E1E" w14:textId="77777777" w:rsidR="00A10151" w:rsidRPr="00A02305" w:rsidRDefault="00A10151" w:rsidP="00A10151">
      <w:pPr>
        <w:spacing w:after="0" w:line="480" w:lineRule="auto"/>
        <w:ind w:left="720" w:firstLine="720"/>
        <w:rPr>
          <w:rFonts w:ascii="Times New Roman" w:hAnsi="Times New Roman" w:cs="Times New Roman"/>
          <w:sz w:val="24"/>
          <w:szCs w:val="24"/>
        </w:rPr>
      </w:pPr>
    </w:p>
    <w:p w14:paraId="55CAD6D1" w14:textId="619FE079" w:rsidR="00A02305" w:rsidRPr="00A02305" w:rsidRDefault="00A02305" w:rsidP="00A02305">
      <w:pPr>
        <w:spacing w:after="0" w:line="480" w:lineRule="auto"/>
        <w:ind w:left="720"/>
        <w:rPr>
          <w:rFonts w:ascii="Times New Roman" w:hAnsi="Times New Roman" w:cs="Times New Roman"/>
          <w:sz w:val="24"/>
          <w:szCs w:val="24"/>
        </w:rPr>
      </w:pPr>
    </w:p>
    <w:p w14:paraId="4D7365E9" w14:textId="5F198152" w:rsidR="00A02305" w:rsidRPr="00A02305" w:rsidRDefault="00A02305" w:rsidP="00A02305">
      <w:pPr>
        <w:spacing w:after="0" w:line="480" w:lineRule="auto"/>
        <w:ind w:left="720"/>
        <w:rPr>
          <w:rFonts w:ascii="Times New Roman" w:hAnsi="Times New Roman" w:cs="Times New Roman"/>
          <w:sz w:val="24"/>
          <w:szCs w:val="24"/>
        </w:rPr>
      </w:pPr>
    </w:p>
    <w:p w14:paraId="70831348" w14:textId="6F87B1F5" w:rsidR="00A02305" w:rsidRPr="00A02305" w:rsidRDefault="00A02305" w:rsidP="00A02305">
      <w:pPr>
        <w:spacing w:after="0" w:line="480" w:lineRule="auto"/>
        <w:ind w:left="720"/>
        <w:rPr>
          <w:rFonts w:ascii="Times New Roman" w:hAnsi="Times New Roman" w:cs="Times New Roman"/>
          <w:sz w:val="24"/>
          <w:szCs w:val="24"/>
        </w:rPr>
      </w:pPr>
    </w:p>
    <w:p w14:paraId="43C2E722" w14:textId="2729E92E" w:rsidR="00A02305" w:rsidRPr="00A02305" w:rsidRDefault="00A02305" w:rsidP="00A02305">
      <w:pPr>
        <w:spacing w:after="0" w:line="480" w:lineRule="auto"/>
        <w:ind w:left="720"/>
        <w:rPr>
          <w:rFonts w:ascii="Times New Roman" w:hAnsi="Times New Roman" w:cs="Times New Roman"/>
          <w:sz w:val="24"/>
          <w:szCs w:val="24"/>
        </w:rPr>
      </w:pPr>
    </w:p>
    <w:p w14:paraId="0DE35DC9" w14:textId="77777777" w:rsidR="00A02305" w:rsidRPr="00A02305" w:rsidRDefault="00A02305" w:rsidP="00A02305">
      <w:pPr>
        <w:spacing w:after="0" w:line="480" w:lineRule="auto"/>
        <w:ind w:left="720"/>
        <w:rPr>
          <w:rFonts w:ascii="Times New Roman" w:hAnsi="Times New Roman" w:cs="Times New Roman"/>
          <w:sz w:val="24"/>
          <w:szCs w:val="24"/>
        </w:rPr>
      </w:pPr>
    </w:p>
    <w:p w14:paraId="0C9C1FB0" w14:textId="5C786147" w:rsidR="00A03E76" w:rsidRPr="00A02305" w:rsidRDefault="00A03E76" w:rsidP="00A02305">
      <w:pPr>
        <w:spacing w:after="0" w:line="480" w:lineRule="auto"/>
        <w:ind w:left="720"/>
        <w:rPr>
          <w:rFonts w:ascii="Times New Roman" w:hAnsi="Times New Roman" w:cs="Times New Roman"/>
          <w:sz w:val="24"/>
          <w:szCs w:val="24"/>
        </w:rPr>
      </w:pPr>
    </w:p>
    <w:p w14:paraId="1138BF6E" w14:textId="06B26C21" w:rsidR="00A03E76" w:rsidRPr="00A02305" w:rsidRDefault="00AB0A1B" w:rsidP="00A02305">
      <w:pPr>
        <w:spacing w:after="0" w:line="480" w:lineRule="auto"/>
        <w:ind w:left="720"/>
        <w:jc w:val="center"/>
        <w:rPr>
          <w:rFonts w:ascii="Times New Roman" w:hAnsi="Times New Roman" w:cs="Times New Roman"/>
          <w:b/>
          <w:bCs/>
          <w:sz w:val="24"/>
          <w:szCs w:val="24"/>
        </w:rPr>
      </w:pPr>
      <w:r w:rsidRPr="00A02305">
        <w:rPr>
          <w:rFonts w:ascii="Times New Roman" w:hAnsi="Times New Roman" w:cs="Times New Roman"/>
          <w:b/>
          <w:bCs/>
          <w:sz w:val="24"/>
          <w:szCs w:val="24"/>
        </w:rPr>
        <w:t>Work Cited</w:t>
      </w:r>
    </w:p>
    <w:p w14:paraId="05EAE6A3" w14:textId="56385FDC" w:rsidR="00A03E76" w:rsidRPr="00A02305" w:rsidRDefault="00AB0A1B" w:rsidP="004E5C77">
      <w:pPr>
        <w:spacing w:after="0" w:line="480" w:lineRule="auto"/>
        <w:ind w:left="1440" w:hanging="720"/>
        <w:rPr>
          <w:rFonts w:ascii="Times New Roman" w:hAnsi="Times New Roman" w:cs="Times New Roman"/>
          <w:sz w:val="24"/>
          <w:szCs w:val="24"/>
        </w:rPr>
      </w:pPr>
      <w:r w:rsidRPr="00A02305">
        <w:rPr>
          <w:rFonts w:ascii="Times New Roman" w:hAnsi="Times New Roman" w:cs="Times New Roman"/>
          <w:sz w:val="24"/>
          <w:szCs w:val="24"/>
        </w:rPr>
        <w:t xml:space="preserve">Morgan, James. “Business law.” </w:t>
      </w:r>
      <w:r w:rsidR="00A02305" w:rsidRPr="00A02305">
        <w:rPr>
          <w:rFonts w:ascii="Times New Roman" w:hAnsi="Times New Roman" w:cs="Times New Roman"/>
          <w:sz w:val="24"/>
          <w:szCs w:val="24"/>
        </w:rPr>
        <w:t xml:space="preserve">BVT Publishing. </w:t>
      </w:r>
      <w:r w:rsidRPr="00A02305">
        <w:rPr>
          <w:rFonts w:ascii="Times New Roman" w:hAnsi="Times New Roman" w:cs="Times New Roman"/>
          <w:sz w:val="24"/>
          <w:szCs w:val="24"/>
        </w:rPr>
        <w:t>2015</w:t>
      </w:r>
      <w:r w:rsidR="00A02305" w:rsidRPr="00A02305">
        <w:rPr>
          <w:rFonts w:ascii="Times New Roman" w:hAnsi="Times New Roman" w:cs="Times New Roman"/>
          <w:sz w:val="24"/>
          <w:szCs w:val="24"/>
        </w:rPr>
        <w:t>. 6</w:t>
      </w:r>
      <w:r w:rsidR="00A02305" w:rsidRPr="00A02305">
        <w:rPr>
          <w:rFonts w:ascii="Times New Roman" w:hAnsi="Times New Roman" w:cs="Times New Roman"/>
          <w:sz w:val="24"/>
          <w:szCs w:val="24"/>
          <w:vertAlign w:val="superscript"/>
        </w:rPr>
        <w:t>th</w:t>
      </w:r>
      <w:r w:rsidR="00A02305" w:rsidRPr="00A02305">
        <w:rPr>
          <w:rFonts w:ascii="Times New Roman" w:hAnsi="Times New Roman" w:cs="Times New Roman"/>
          <w:sz w:val="24"/>
          <w:szCs w:val="24"/>
        </w:rPr>
        <w:t xml:space="preserve"> Edition ISBN 9781-51780-4022</w:t>
      </w:r>
    </w:p>
    <w:p w14:paraId="5B1C2B21" w14:textId="2F7A1D0E" w:rsidR="00A02305" w:rsidRPr="00A02305" w:rsidRDefault="00A02305" w:rsidP="00A02305">
      <w:pPr>
        <w:spacing w:after="0" w:line="480" w:lineRule="auto"/>
        <w:ind w:left="720"/>
        <w:rPr>
          <w:rFonts w:ascii="Times New Roman" w:hAnsi="Times New Roman" w:cs="Times New Roman"/>
          <w:sz w:val="24"/>
          <w:szCs w:val="24"/>
        </w:rPr>
      </w:pPr>
    </w:p>
    <w:p w14:paraId="7AB97D0C" w14:textId="38FF22D5" w:rsidR="00A02305" w:rsidRPr="00A02305" w:rsidRDefault="00A02305" w:rsidP="00A02305">
      <w:pPr>
        <w:spacing w:after="0" w:line="480" w:lineRule="auto"/>
        <w:ind w:left="720"/>
        <w:rPr>
          <w:rFonts w:ascii="Times New Roman" w:hAnsi="Times New Roman" w:cs="Times New Roman"/>
          <w:sz w:val="24"/>
          <w:szCs w:val="24"/>
        </w:rPr>
      </w:pPr>
    </w:p>
    <w:p w14:paraId="2EE80764" w14:textId="77777777" w:rsidR="00A02305" w:rsidRPr="00A02305" w:rsidRDefault="00A02305" w:rsidP="00A02305">
      <w:pPr>
        <w:spacing w:after="0" w:line="480" w:lineRule="auto"/>
        <w:ind w:left="720"/>
        <w:rPr>
          <w:rFonts w:ascii="Times New Roman" w:hAnsi="Times New Roman" w:cs="Times New Roman"/>
          <w:sz w:val="24"/>
          <w:szCs w:val="24"/>
        </w:rPr>
      </w:pPr>
    </w:p>
    <w:sectPr w:rsidR="00A02305" w:rsidRPr="00A023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9B8085" w14:textId="77777777" w:rsidR="00AB0A1B" w:rsidRDefault="00AB0A1B">
      <w:pPr>
        <w:spacing w:after="0" w:line="240" w:lineRule="auto"/>
      </w:pPr>
      <w:r>
        <w:separator/>
      </w:r>
    </w:p>
  </w:endnote>
  <w:endnote w:type="continuationSeparator" w:id="0">
    <w:p w14:paraId="359F7698" w14:textId="77777777" w:rsidR="00AB0A1B" w:rsidRDefault="00AB0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0A844" w14:textId="77777777" w:rsidR="00AB0A1B" w:rsidRDefault="00AB0A1B">
      <w:pPr>
        <w:spacing w:after="0" w:line="240" w:lineRule="auto"/>
      </w:pPr>
      <w:r>
        <w:separator/>
      </w:r>
    </w:p>
  </w:footnote>
  <w:footnote w:type="continuationSeparator" w:id="0">
    <w:p w14:paraId="104B100B" w14:textId="77777777" w:rsidR="00AB0A1B" w:rsidRDefault="00AB0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1549606"/>
      <w:docPartObj>
        <w:docPartGallery w:val="Page Numbers (Top of Page)"/>
        <w:docPartUnique/>
      </w:docPartObj>
    </w:sdtPr>
    <w:sdtEndPr>
      <w:rPr>
        <w:noProof/>
      </w:rPr>
    </w:sdtEndPr>
    <w:sdtContent>
      <w:p w14:paraId="5FB5417D" w14:textId="3B8D504A" w:rsidR="00F85FDC" w:rsidRDefault="00AB0A1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2006E708" w14:textId="77777777" w:rsidR="00F85FDC" w:rsidRDefault="00F85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7220"/>
    <w:multiLevelType w:val="hybridMultilevel"/>
    <w:tmpl w:val="A1E2E2A0"/>
    <w:lvl w:ilvl="0" w:tplc="176AA166">
      <w:start w:val="1"/>
      <w:numFmt w:val="decimal"/>
      <w:lvlText w:val="%1."/>
      <w:lvlJc w:val="left"/>
      <w:pPr>
        <w:ind w:left="720" w:hanging="360"/>
      </w:pPr>
    </w:lvl>
    <w:lvl w:ilvl="1" w:tplc="5FCA599E" w:tentative="1">
      <w:start w:val="1"/>
      <w:numFmt w:val="lowerLetter"/>
      <w:lvlText w:val="%2."/>
      <w:lvlJc w:val="left"/>
      <w:pPr>
        <w:ind w:left="1440" w:hanging="360"/>
      </w:pPr>
    </w:lvl>
    <w:lvl w:ilvl="2" w:tplc="80F489AE" w:tentative="1">
      <w:start w:val="1"/>
      <w:numFmt w:val="lowerRoman"/>
      <w:lvlText w:val="%3."/>
      <w:lvlJc w:val="right"/>
      <w:pPr>
        <w:ind w:left="2160" w:hanging="180"/>
      </w:pPr>
    </w:lvl>
    <w:lvl w:ilvl="3" w:tplc="59383A3C" w:tentative="1">
      <w:start w:val="1"/>
      <w:numFmt w:val="decimal"/>
      <w:lvlText w:val="%4."/>
      <w:lvlJc w:val="left"/>
      <w:pPr>
        <w:ind w:left="2880" w:hanging="360"/>
      </w:pPr>
    </w:lvl>
    <w:lvl w:ilvl="4" w:tplc="72F46BE6" w:tentative="1">
      <w:start w:val="1"/>
      <w:numFmt w:val="lowerLetter"/>
      <w:lvlText w:val="%5."/>
      <w:lvlJc w:val="left"/>
      <w:pPr>
        <w:ind w:left="3600" w:hanging="360"/>
      </w:pPr>
    </w:lvl>
    <w:lvl w:ilvl="5" w:tplc="C3AAD4A2" w:tentative="1">
      <w:start w:val="1"/>
      <w:numFmt w:val="lowerRoman"/>
      <w:lvlText w:val="%6."/>
      <w:lvlJc w:val="right"/>
      <w:pPr>
        <w:ind w:left="4320" w:hanging="180"/>
      </w:pPr>
    </w:lvl>
    <w:lvl w:ilvl="6" w:tplc="D7A8CB26" w:tentative="1">
      <w:start w:val="1"/>
      <w:numFmt w:val="decimal"/>
      <w:lvlText w:val="%7."/>
      <w:lvlJc w:val="left"/>
      <w:pPr>
        <w:ind w:left="5040" w:hanging="360"/>
      </w:pPr>
    </w:lvl>
    <w:lvl w:ilvl="7" w:tplc="1C9CE774" w:tentative="1">
      <w:start w:val="1"/>
      <w:numFmt w:val="lowerLetter"/>
      <w:lvlText w:val="%8."/>
      <w:lvlJc w:val="left"/>
      <w:pPr>
        <w:ind w:left="5760" w:hanging="360"/>
      </w:pPr>
    </w:lvl>
    <w:lvl w:ilvl="8" w:tplc="F1E0D6F8" w:tentative="1">
      <w:start w:val="1"/>
      <w:numFmt w:val="lowerRoman"/>
      <w:lvlText w:val="%9."/>
      <w:lvlJc w:val="right"/>
      <w:pPr>
        <w:ind w:left="6480" w:hanging="180"/>
      </w:pPr>
    </w:lvl>
  </w:abstractNum>
  <w:abstractNum w:abstractNumId="1"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20B5D"/>
    <w:multiLevelType w:val="multilevel"/>
    <w:tmpl w:val="4FE453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253E87"/>
    <w:multiLevelType w:val="multilevel"/>
    <w:tmpl w:val="F3AA6F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B674E8"/>
    <w:multiLevelType w:val="multilevel"/>
    <w:tmpl w:val="88E4F4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624177"/>
    <w:multiLevelType w:val="multilevel"/>
    <w:tmpl w:val="7A602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7D35DD"/>
    <w:multiLevelType w:val="multilevel"/>
    <w:tmpl w:val="5A26BE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3"/>
  </w:num>
  <w:num w:numId="3">
    <w:abstractNumId w:val="1"/>
  </w:num>
  <w:num w:numId="4">
    <w:abstractNumId w:val="8"/>
  </w:num>
  <w:num w:numId="5">
    <w:abstractNumId w:val="10"/>
  </w:num>
  <w:num w:numId="6">
    <w:abstractNumId w:val="13"/>
  </w:num>
  <w:num w:numId="7">
    <w:abstractNumId w:val="6"/>
  </w:num>
  <w:num w:numId="8">
    <w:abstractNumId w:val="12"/>
  </w:num>
  <w:num w:numId="9">
    <w:abstractNumId w:val="7"/>
  </w:num>
  <w:num w:numId="10">
    <w:abstractNumId w:val="2"/>
  </w:num>
  <w:num w:numId="11">
    <w:abstractNumId w:val="4"/>
  </w:num>
  <w:num w:numId="12">
    <w:abstractNumId w:val="5"/>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015671"/>
    <w:rsid w:val="000523A8"/>
    <w:rsid w:val="00085C81"/>
    <w:rsid w:val="000D348C"/>
    <w:rsid w:val="00151C0C"/>
    <w:rsid w:val="00244E26"/>
    <w:rsid w:val="00291A33"/>
    <w:rsid w:val="002F0701"/>
    <w:rsid w:val="002F24EB"/>
    <w:rsid w:val="003361A6"/>
    <w:rsid w:val="0036622E"/>
    <w:rsid w:val="0038494F"/>
    <w:rsid w:val="003E3F77"/>
    <w:rsid w:val="003F0105"/>
    <w:rsid w:val="00467B44"/>
    <w:rsid w:val="004C53AE"/>
    <w:rsid w:val="004E5C77"/>
    <w:rsid w:val="00521BC7"/>
    <w:rsid w:val="006D1BE7"/>
    <w:rsid w:val="0073033F"/>
    <w:rsid w:val="007431A6"/>
    <w:rsid w:val="00795DCC"/>
    <w:rsid w:val="007B4AC2"/>
    <w:rsid w:val="007B681D"/>
    <w:rsid w:val="008001CB"/>
    <w:rsid w:val="008466E7"/>
    <w:rsid w:val="0087007C"/>
    <w:rsid w:val="008C2738"/>
    <w:rsid w:val="0094163C"/>
    <w:rsid w:val="00983EFE"/>
    <w:rsid w:val="009E2D05"/>
    <w:rsid w:val="00A02305"/>
    <w:rsid w:val="00A03E76"/>
    <w:rsid w:val="00A10151"/>
    <w:rsid w:val="00A20F5D"/>
    <w:rsid w:val="00A40A94"/>
    <w:rsid w:val="00AB0A1B"/>
    <w:rsid w:val="00AC24CB"/>
    <w:rsid w:val="00AF3F5D"/>
    <w:rsid w:val="00B60091"/>
    <w:rsid w:val="00B90A63"/>
    <w:rsid w:val="00C71081"/>
    <w:rsid w:val="00CF1365"/>
    <w:rsid w:val="00CF55F5"/>
    <w:rsid w:val="00DA1B94"/>
    <w:rsid w:val="00E1638D"/>
    <w:rsid w:val="00E50CDF"/>
    <w:rsid w:val="00E94C78"/>
    <w:rsid w:val="00F605DA"/>
    <w:rsid w:val="00F65CC3"/>
    <w:rsid w:val="00F85FDC"/>
    <w:rsid w:val="00FB0F7B"/>
    <w:rsid w:val="00FB5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 w:type="paragraph" w:styleId="ListParagraph">
    <w:name w:val="List Paragraph"/>
    <w:basedOn w:val="Normal"/>
    <w:uiPriority w:val="34"/>
    <w:qFormat/>
    <w:rsid w:val="00795DCC"/>
    <w:pPr>
      <w:ind w:left="720"/>
      <w:contextualSpacing/>
    </w:pPr>
  </w:style>
  <w:style w:type="character" w:styleId="Hyperlink">
    <w:name w:val="Hyperlink"/>
    <w:basedOn w:val="DefaultParagraphFont"/>
    <w:uiPriority w:val="99"/>
    <w:unhideWhenUsed/>
    <w:rsid w:val="00E1638D"/>
    <w:rPr>
      <w:color w:val="0563C1" w:themeColor="hyperlink"/>
      <w:u w:val="single"/>
    </w:rPr>
  </w:style>
  <w:style w:type="character" w:customStyle="1" w:styleId="UnresolvedMention1">
    <w:name w:val="Unresolved Mention1"/>
    <w:basedOn w:val="DefaultParagraphFont"/>
    <w:uiPriority w:val="99"/>
    <w:semiHidden/>
    <w:unhideWhenUsed/>
    <w:rsid w:val="00E1638D"/>
    <w:rPr>
      <w:color w:val="605E5C"/>
      <w:shd w:val="clear" w:color="auto" w:fill="E1DFDD"/>
    </w:rPr>
  </w:style>
  <w:style w:type="paragraph" w:styleId="Header">
    <w:name w:val="header"/>
    <w:basedOn w:val="Normal"/>
    <w:link w:val="HeaderChar"/>
    <w:uiPriority w:val="99"/>
    <w:unhideWhenUsed/>
    <w:rsid w:val="00F85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FDC"/>
  </w:style>
  <w:style w:type="paragraph" w:styleId="Footer">
    <w:name w:val="footer"/>
    <w:basedOn w:val="Normal"/>
    <w:link w:val="FooterChar"/>
    <w:uiPriority w:val="99"/>
    <w:unhideWhenUsed/>
    <w:rsid w:val="00F85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1435</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Azarria Tyson</dc:creator>
  <cp:lastModifiedBy>Michael Mutinda</cp:lastModifiedBy>
  <cp:revision>2</cp:revision>
  <dcterms:created xsi:type="dcterms:W3CDTF">2019-12-15T22:11:00Z</dcterms:created>
  <dcterms:modified xsi:type="dcterms:W3CDTF">2019-12-15T22:11:00Z</dcterms:modified>
</cp:coreProperties>
</file>